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191</w:t>
      </w:r>
    </w:p>
    <w:p>
      <w:r>
        <w:t>Bundesgericht (BGE), 2023-02-21, FR</w:t>
      </w:r>
    </w:p>
    <w:p>
      <w:r>
        <w:rPr>
          <w:b/>
        </w:rPr>
        <w:t xml:space="preserve">Quelle: </w:t>
      </w:r>
      <w:r>
        <w:t>https://mcp.opencaselaw.ch/entscheid/bge_150 I 191</w:t>
      </w:r>
    </w:p>
    <w:p>
      <w:r>
        <w:t>FR: ATF 150 I 191</w:t>
      </w:r>
    </w:p>
    <w:p>
      <w:r>
        <w:t>IT: DTF 150 I 191</w:t>
      </w:r>
    </w:p>
    <w:p>
      <w:pPr>
        <w:pStyle w:val="Heading2"/>
      </w:pPr>
      <w:r>
        <w:t>Regeste</w:t>
      </w:r>
    </w:p>
    <w:p>
      <w:r>
        <w:t>Regeste Art. 29a BV; Art. 156 ZPO; kantonale Datenschutzgesetzgebung; Übermittlung von Daten durch die Verwaltung an den Zivilrichter; Rechtsschutz. Das Fehlen eines Rechtsmittels gegen die Datenübermittlung durch die Verwaltung verstösst nicht gegen Art. 29a BV, da der Rechtsschutz durch den Zivilrichter gemäss Art. 156 ZPO ausreichend ist (E. 2).</w:t>
      </w:r>
    </w:p>
    <w:p>
      <w:pPr>
        <w:pStyle w:val="Heading2"/>
      </w:pPr>
      <w:r>
        <w:t>Erwägungen</w:t>
      </w:r>
    </w:p>
    <w:p>
      <w:r>
        <w:rPr>
          <w:b/>
        </w:rPr>
        <w:t>E. 2</w:t>
      </w:r>
    </w:p>
    <w:p>
      <w:r>
        <w:t>Le recourant ne se plaint pas d'une application arbitraire des règles cantonales de forme ou de fond ayant conduit à déclarer son recours irrecevable. Il estime en revanche que la décision attaquée violerait la garantie de l'accès au juge découlant de l' art. 29a Cst. Il relève que les actes matériels de l'administration, telle la transmission d'informations, sont eux aussi soumis à cette garantie. Se référant à un arrêt du Tribunal administratif fédéral ( ATAF 2014/19 du 5 juin 2014), il relève que l'autorité administrative n'est pas tenue de collaborer et doit procéder à une appréciation du cas pour décider de lever le secret de fonction ou le secret professionnel et de donner suite ou non à une demande de production. Un contrôle complet BGE 150 I 191 S. 193 de la légalité de ces actes, conformément aux art. 21 LInfo et 31 al. 1 LPrD, serait nécessaire et le contrôle du juge civil ne serait pas suffisant à cet égard. En l'espèce, les pièces transmises contiennent des informations confidentielles concernant le recourant, celui-ci n'est pas partie à la procédure civile et il est en litige depuis de nombreuses années avec la société B. SA.</w:t>
      </w:r>
    </w:p>
    <w:p>
      <w:r>
        <w:rPr>
          <w:b/>
        </w:rPr>
        <w:t>E. 2.1</w:t>
      </w:r>
    </w:p>
    <w:p>
      <w:r>
        <w:t>L' art. 29a Cst. donne à toute personne le droit à ce que sa cause soit jugée par une autorité judiciaire jouissant d'un plein pouvoir d'examen en fait et en droit, la Confédération et les cantons pouvant, par la loi, exclure l'accès au juge dans des cas exceptionnels. Cette norme étend donc le contrôle judiciaire à toutes les matières, y compris aux actes de l'administration, en établissant une garantie générale de l'accès au juge plus large que celle qui découle de l' art. 6 CEDH ( ATF 149 I 146 consid. 3.3.1 et les arrêts cités). Le droit au contrôle judiciaire garanti par l' art. 29a Cst. n'existe toutefois que dans le cadre des règles de procédure en vigueur, de sorte qu'il n'interdit pas de faire dépendre la question de l'entrée en matière sur un recours ou sur une action du respect des conditions habituelles de recevabilité ( ATF 143 I 344 consid. 8.2; ATF 141 I 172 consid. 4.4; ATF 137 II 409 consid. 4.2).</w:t>
      </w:r>
    </w:p>
    <w:p>
      <w:r>
        <w:rPr>
          <w:b/>
        </w:rPr>
        <w:t>E. 2.2</w:t>
      </w:r>
    </w:p>
    <w:p>
      <w:r>
        <w:t>Selon l' art. 156 CPC ("Sauvegarde d'intérêts dignes de protection"), le tribunal ordonne les mesures propres à éviter que l'administration des preuves ne porte atteinte à des intérêts dignes de protection des parties ou de tiers. Si la loi ne mentionne expressément que les secrets d'affaires, la jurisprudence reconnaît une portée plus large à la disposition, incluant en particulier les droits de la personnalité ( ATF 148 III 84 consid. 3.2.1 et [non publié] 3.4.1; PHILIPPE SCHWEIZER, in Commentaire romand, Code de procédure civile, 2 e éd. 2019, n° 6 ad art. 156 CPC ). Il ne s'agit pas d'une faculté, mais d'une obligation du tribunal. La partie ou le tiers qui requiert une mesure de protection est tenu de rendre vraisemblable une atteinte effective à ses intérêts dignes de protection, et ne peut se contenter d'une allégation théorique. Les mesures de protection peuvent notamment consister en une limitation de l'accès au dossier, un caviardage des documents ou une obligation de garder le secret éventuellement assortie d'une menace de sanction selon l' art. 292 CP ( ATF 148 III 84 consid. 3.2). Ces mesures doivent être proportionnées et le juge doit tenir compte de l'ensemble des circonstances concrètes ( ATF 148 III 84 consid. 3.2.3). Le tribunal dispose dans ce cadre d'un large pouvoir d'appréciation afin de tenir compte d'une part des intérêts BGE 150 I 191 S. 194 compromis par l'administration de la preuve et, d'autre part, du droit d'être entendu, et notamment du droit à la preuve des parties à la procédure (SCHWEIZER, op. cit., n° 15 ad art. 156 CPC ). Par tribunal au sens de l' art. 156 CPC , il faut entendre le juge civil, soit en l'occurrence le Tribunal d'arrondissement de la Côte. Le tiers qui se plaint d'une prise en compte insuffisante de ses intérêts par la décision du juge civil dispose encore dans ce cadre des voies de droit prévues par le CPC (cf. art. 308 ss, 319 al. 1 CPC ). S'agissant d'une décision incidente, la condition du préjudice irréparable ( art. 319 let. b ch. 2 CPC ) serait réalisée, en particulier si est invoquée une atteinte à un secret protégé (SCHWEIZER, op. cit., n° 15 ad art. 156 CPC ; CHABLOT/COPT, in Petit commentaire, Code de procédure civile, 2021, n° 13 ad art. 156 CPC ; CHRISTIAN LEU, in Schweizerische Zivilprozessordnung [ZPO], Kommentar, 2 e éd. 2016, n° 29 ad art. 156 CPC ; SAMUEL BAUMGARTNER, in ZPO, Oberhammer et al. [éd.], 3 e éd. 2021, n° 7 ad art. 156 CPC ).</w:t>
      </w:r>
    </w:p>
    <w:p>
      <w:r>
        <w:rPr>
          <w:b/>
        </w:rPr>
        <w:t>E. 2.3</w:t>
      </w:r>
    </w:p>
    <w:p>
      <w:r>
        <w:t>En définitive, la protection juridique assurée devant le juge civil satisfait aux exigences de l' art. 29a Cst. Le recourant n'indique d'ailleurs pas quelles questions pourraient être traitées dans le cadre d'un recours contre l'acte de transmission des pièces, qui ne pourraient pas l'être par le tribunal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